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10348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Приложение № </w:t>
      </w:r>
      <w:r>
        <w:rPr>
          <w:rFonts w:ascii="Times New Roman" w:hAnsi="Times New Roman"/>
          <w:sz w:val="22"/>
          <w:szCs w:val="22"/>
        </w:rPr>
        <w:t>1</w:t>
      </w:r>
    </w:p>
    <w:p>
      <w:pPr>
        <w:pStyle w:val="Normal"/>
        <w:spacing w:lineRule="auto" w:line="240" w:before="0" w:after="0"/>
        <w:ind w:left="10348" w:hanging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к постановлению Территориальной избирательной комиссии Песчанокопского района </w:t>
      </w:r>
    </w:p>
    <w:p>
      <w:pPr>
        <w:pStyle w:val="Normal"/>
        <w:spacing w:lineRule="auto" w:line="240" w:before="0" w:after="0"/>
        <w:ind w:left="10348" w:hanging="0"/>
        <w:jc w:val="left"/>
        <w:rPr>
          <w:rFonts w:ascii="Times New Roman" w:hAnsi="Times New Roman"/>
        </w:rPr>
      </w:pPr>
      <w:r>
        <w:rPr>
          <w:rFonts w:cs="Times New Roman" w:ascii="Times New Roman" w:hAnsi="Times New Roman"/>
          <w:sz w:val="22"/>
          <w:szCs w:val="22"/>
        </w:rPr>
        <w:t>от 23 января 2020 г. № 94-1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32"/>
          <w:szCs w:val="32"/>
        </w:rPr>
      </w:pPr>
      <w:r>
        <w:rPr/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cs="Times New Roman" w:ascii="Times New Roman" w:hAnsi="Times New Roman"/>
          <w:sz w:val="28"/>
          <w:szCs w:val="28"/>
        </w:rPr>
        <w:t>Учебно-тематический план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обучения членов Территориальной избирательной комиссии </w:t>
      </w:r>
    </w:p>
    <w:p>
      <w:pPr>
        <w:pStyle w:val="Normal"/>
        <w:spacing w:lineRule="auto" w:line="240" w:before="0" w:after="0"/>
        <w:ind w:left="0" w:right="0" w:hanging="0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 xml:space="preserve">Песчанокопского района в 2020 году </w:t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ind w:left="0" w:right="0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/>
      </w:r>
    </w:p>
    <w:tbl>
      <w:tblPr>
        <w:tblStyle w:val="a3"/>
        <w:tblW w:w="15420" w:type="dxa"/>
        <w:jc w:val="left"/>
        <w:tblInd w:w="-45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80"/>
        <w:gridCol w:w="375"/>
        <w:gridCol w:w="9195"/>
        <w:gridCol w:w="1185"/>
        <w:gridCol w:w="1335"/>
        <w:gridCol w:w="2550"/>
      </w:tblGrid>
      <w:tr>
        <w:trPr>
          <w:trHeight w:val="165" w:hRule="atLeast"/>
        </w:trPr>
        <w:tc>
          <w:tcPr>
            <w:tcW w:w="780" w:type="dxa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№ 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9570" w:type="dxa"/>
            <w:gridSpan w:val="2"/>
            <w:vMerge w:val="restart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2520" w:type="dxa"/>
            <w:gridSpan w:val="2"/>
            <w:tcBorders/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ТИК</w:t>
            </w:r>
          </w:p>
        </w:tc>
        <w:tc>
          <w:tcPr>
            <w:tcW w:w="2550" w:type="dxa"/>
            <w:vMerge w:val="restart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Ответственный</w:t>
            </w:r>
          </w:p>
        </w:tc>
      </w:tr>
      <w:tr>
        <w:trPr>
          <w:trHeight w:val="165" w:hRule="atLeast"/>
        </w:trPr>
        <w:tc>
          <w:tcPr>
            <w:tcW w:w="78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570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20" w:type="dxa"/>
            <w:gridSpan w:val="2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>
          <w:trHeight w:val="322" w:hRule="atLeast"/>
        </w:trPr>
        <w:tc>
          <w:tcPr>
            <w:tcW w:w="78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9570" w:type="dxa"/>
            <w:gridSpan w:val="2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из них практика</w:t>
            </w:r>
          </w:p>
        </w:tc>
        <w:tc>
          <w:tcPr>
            <w:tcW w:w="2550" w:type="dxa"/>
            <w:vMerge w:val="continue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Избирательное законодательство: важные изменения, специфика право-применительной практики. Виды избирательных систем, применяемые на выборах в РФ.</w:t>
            </w:r>
          </w:p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Правовые аспекты организации избирательного процесса при проведении выборов Губернатора Ростовской области. Современные избирательные технологии.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Бойко А.Н.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Регистрация (учет) избирателей. Работа со списками избирателей. Уточнение списков избирателей.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Открытость и гласность в деятельности ТИК. Взаимодействие со всеми участниками избирательного процесса.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Бойко А.Н.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Действия членов территориальной избирательной комиссии в конфликтных и чрезвычайных ситуациях во время выборов. Обязанности членов ТИК в случае появления нештатных ситуаций.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Щербакова И.В.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Информационное обеспечение выборов. Предвыборная агитация. Агитационный период. Контроль за проведением предвыборной агитации.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Бойко А.Н.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Голдинова Е.И.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Финансовое обеспечение выборов. Формирование сметы расходов. Подготовка документов при сдаче финансового отчета.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Хирувимских Е.А.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Подготовка и организация ППЗ (пункта приема заявлений) для голосования по месту нахождения. Избирательный бюллетень.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Щербакова И.В.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Подсчет голосов избирателей.</w:t>
            </w:r>
          </w:p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Подведение итогов голосования и установление результатов выборов. Оформление итогового протокола. Опубликование результатов выборов.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Щербакова И.В.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Работа ТИК с обращениями, жалобами и заявлениями. Обжалование решений и действий (бездействия) участковых избирательных комиссий и должностных лиц, нарушающих избирательные права граждан. 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Щербакова И.В.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spacing w:lineRule="auto" w:line="240" w:before="0" w:after="0"/>
              <w:ind w:left="34" w:hanging="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Юридическая ответственность и правовые санкции за нарушение избирательного законодательства.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Бойко А.Н.</w:t>
            </w:r>
          </w:p>
        </w:tc>
      </w:tr>
      <w:tr>
        <w:trPr/>
        <w:tc>
          <w:tcPr>
            <w:tcW w:w="780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570" w:type="dxa"/>
            <w:gridSpan w:val="2"/>
            <w:tcBorders/>
            <w:shd w:fill="auto" w:val="clear"/>
          </w:tcPr>
          <w:p>
            <w:pPr>
              <w:pStyle w:val="ListParagraph"/>
              <w:widowControl/>
              <w:bidi w:val="0"/>
              <w:spacing w:lineRule="auto" w:line="240" w:before="0" w:after="0"/>
              <w:ind w:left="170" w:right="0" w:hanging="0"/>
              <w:contextualSpacing/>
              <w:jc w:val="both"/>
              <w:rPr/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Тестирование.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Бабин Э.Н.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Стадников С.А.</w:t>
            </w:r>
          </w:p>
        </w:tc>
      </w:tr>
      <w:tr>
        <w:trPr/>
        <w:tc>
          <w:tcPr>
            <w:tcW w:w="1155" w:type="dxa"/>
            <w:gridSpan w:val="2"/>
            <w:tcBorders>
              <w:right w:val="nil"/>
              <w:insideV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95" w:type="dxa"/>
            <w:tcBorders>
              <w:left w:val="nil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8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33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550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 1. Избирательное законодательство: важные изменения, специфика правоприменительной практики. Виды избирательных систем, применяемые на выборах в РФ.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Правовые аспекты организации избирательного процесса при проведении выборов Губернатора Ростовской области. Современные избирательные технологии.</w:t>
      </w:r>
    </w:p>
    <w:p>
      <w:pPr>
        <w:pStyle w:val="ListParagraph"/>
        <w:widowControl/>
        <w:numPr>
          <w:ilvl w:val="0"/>
          <w:numId w:val="2"/>
        </w:numPr>
        <w:bidi w:val="0"/>
        <w:spacing w:lineRule="auto" w:line="240" w:before="0" w:after="0"/>
        <w:ind w:left="454" w:right="0" w:hanging="454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Федеральный закон «Об основных гарантиях избирательных прав и права на участие в референдуме граждан Российской Федерации». Права и обязанности лиц, присутствующих на выборах.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Основные изменения в избирательном законодательстве о выборах в 2019-2020 г.г.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Понятие и принципы избирательного права. Источники избирательного права.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Порядок назначения выборов и основные этапы избирательной кампании.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Избирательные системы, применяемые на территории Российской Федерации.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Правовые аспекты организации избирательного процесса при проведении выборов Губернатора Ростовской области.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450" w:leader="none"/>
        </w:tabs>
        <w:spacing w:lineRule="auto" w:line="240" w:before="0" w:after="0"/>
        <w:ind w:left="142" w:hanging="142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Современные избирательные технологии.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№2.  Регистрация (учет) избирателей. Работа со списками избирателей.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Уточнение списков избирателей.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</w:t>
        <w:tab/>
        <w:t xml:space="preserve">Регистрация (учет) избирателей; органы и лица, осуществляющие регистрацию (учет) избирателей. 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</w:t>
        <w:tab/>
        <w:t xml:space="preserve">Списки избирателей. Ознакомление избирателей со списками избирателей.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</w:t>
        <w:tab/>
        <w:t xml:space="preserve">Уточнение списка избирателей. Требования к документам для уточнения списка избирателей, поступивших в участковую избирательную комиссию. 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</w:t>
        <w:tab/>
        <w:t>Внесение данных голосующих по месту нахождения.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</w:t>
        <w:tab/>
        <w:t xml:space="preserve">Исключение избирателя из списка избирателей. Подготовка списка избирателей ко дню голосования. </w:t>
      </w:r>
    </w:p>
    <w:p>
      <w:pPr>
        <w:pStyle w:val="Normal"/>
        <w:tabs>
          <w:tab w:val="clear" w:pos="708"/>
          <w:tab w:val="left" w:pos="45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</w:t>
        <w:tab/>
        <w:t>Внесение отметок в список избирателей.</w:t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Тема № 3. Открытость и гласность в деятельности ТИК.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Взаимодействие со всеми участниками избирательного процесса.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Взаимодействие территориальной избирательной комиссии с наблюдателями, членами комиссии с правом совещательного голоса.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2. Права наблюдателей. Недопущение правонарушающих действий наблюдателей и других участников избирательного процесса.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3. Взаимодействие территориальной избирательной комиссии с представителями средств массовой информации, кандидатами, присутствующими при голосовании и подсчете голосов.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8"/>
          <w:szCs w:val="28"/>
        </w:rPr>
        <w:t>4. Осуществление фото- и видеосъемки при проведении выборов.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№4. Действия членов территориальной избирательной комиссии в конфликтных и чрезвычайных ситуациях во время выборов. Обязанности членов ТИК в случае появления нештатных ситуаций.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</w:t>
        <w:tab/>
        <w:t xml:space="preserve">Алгоритм действия членов ТИК в случае возникновения нарушений избирательного законодательства. </w:t>
      </w:r>
    </w:p>
    <w:p>
      <w:pPr>
        <w:pStyle w:val="Normal"/>
        <w:tabs>
          <w:tab w:val="clear" w:pos="708"/>
          <w:tab w:val="left" w:pos="345" w:leader="none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</w:t>
        <w:tab/>
        <w:t xml:space="preserve">Наблюдение в помещении для голосования, вне помещения для голосования, при подсчете голосов и т.п.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</w:t>
        <w:tab/>
        <w:t>Возможные виды нарушений, возникающих в территориальной избирательной комиссии.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</w:t>
        <w:tab/>
        <w:t>Действия члена территориальной избирательной комиссии с правом решающего голоса при обнаружении нарушений.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</w:t>
        <w:tab/>
        <w:t xml:space="preserve">Действия членов ТИК с правом совещательного голоса.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</w:t>
        <w:tab/>
        <w:t>Взаимодействие ТИК с правоохранительными органами.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7.</w:t>
        <w:tab/>
        <w:t>Обязанности членов ТИК в случае появления нештатных ситуаций.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№5. Информационное обеспечение выборов. Предвыборная агитация. Контроль за проведением предвыборной агитации.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</w:t>
        <w:tab/>
        <w:t>Информирование избирателей.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</w:t>
        <w:tab/>
        <w:t xml:space="preserve">Требования к содержанию информационных материалов. Опубликование (обнародование) результатов опросов общественного мнения, связанных с выборами, как разновидности информирования избирателей. Организации телерадиовещания и периодические печатные издания, используемые для информационного обеспечения выборов.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</w:t>
        <w:tab/>
        <w:t xml:space="preserve">Главные отличия информирования от агитации.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</w:t>
        <w:tab/>
        <w:t xml:space="preserve">Предвыборная агитация: понятие, признаки, формы, методы. Расходы на проведение предвыборной агитации. Участники предвыборной агитации. Условия проведения предвыборной агитации на каналах организаций телерадиовещания, в периодических печатных изданиях. 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</w:t>
        <w:tab/>
        <w:t xml:space="preserve">Агитационный период. Проведение предвыборной агитации. 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</w:t>
        <w:tab/>
        <w:t>Пресечение незаконного распространения агитационных материалов.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№6. Финансовое обеспечение выборов.</w:t>
      </w:r>
    </w:p>
    <w:p>
      <w:pPr>
        <w:pStyle w:val="Normal"/>
        <w:tabs>
          <w:tab w:val="clear" w:pos="708"/>
          <w:tab w:val="left" w:pos="345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Расходы территориальной избирательной комиссии, финансируемые при проведении выборов.</w:t>
      </w:r>
    </w:p>
    <w:p>
      <w:pPr>
        <w:pStyle w:val="Normal"/>
        <w:tabs>
          <w:tab w:val="clear" w:pos="708"/>
          <w:tab w:val="left" w:pos="390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Смета расходов территориальной и участковой избирательной комиссии: порядок составления, утверждения и исполнения.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Финансовая документация при подготовке отчета о расходовании бюджетных средств.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Контроль за целевым расходованием бюджетных средств, выделенных территориальной избирательной комиссии.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Отчетность участковых избирательных комиссий: порядок, сроки представления и формы отчетных финансовых документов.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Тема №7. Подготовка и организация работы пункта приема заявлений для голосования по месту нахождения. Избирательный бюллетень.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Организация АРМ ППЗ (автоматизированного рабочего места пункта приема заявлений) для голосования по месту нахождения.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Документация и учет заявлений в пункте приема заявлений для голосования по месту нахождения.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3. Работа ТИК с избирательными бюллетенями. Порядок получения избирательных бюллетеней. Передача избирательных бюллетеней и других избирательных документов.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cs="Times New Roman"/>
          <w:b/>
          <w:b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№8. Подсчет голосов избирателей.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 xml:space="preserve">Подведение итогов голосования и установление результатов выборов.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Оформление итогового протокола.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Порядок подсчета голосов избирателей. Функции председателя, заместителя председателя и секретаря при подсчете голосов. Подготовка к подсчету голосов избирателей на избирательном участке.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2. Последовательность и порядок действий членов УИК при подсчёте голосов избирателей. Подсчёт и погашение неиспользованных избирательных бюллетеней.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Непосредственный подсчет голосов избирателей. Подсчет числа избирательных бюллетеней в переносных ящиках для голосования. Вскрытие стационарных ящиков для голосования, сортировка избирательных бюллетеней.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Повторный подсчет голосов: основания и порядок, составление протокола подсчета голосов.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5. Оформление протокола. Проверка контрольных соотношений.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6. Упаковка избирательных бюллетеней и передача их в ТИК.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7. Проведение итогового заседания ТИК. Порядок выдачи копии протокола ТИК о результатах выборов. Порядок работы с протоколом ТИК после его подписания.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№9. Работа ТИК с обращениями, жалобами и заявлениями. Обжалование решений и действий (бездействия) участковых комиссий и должностных лиц, нарушающих избирательные права граждан.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1. Организация работы с заявлениями и обращениями граждан, поступающими в территориальную избирательную комиссию.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Порядок разрешения избирательных споров, обжалование решений нижестоящих комиссий и должностных лиц.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Порядок и сроки рассмотрения избирательными комиссиями обращений о нарушениях законодательства о выборах.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Основания для отмены регистрации кандидата или решения избирательной комиссии.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8"/>
          <w:szCs w:val="28"/>
        </w:rPr>
        <w:t>Тема №10. Юридическая ответственность и правовые санкции за нарушение избирательного законодательства.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Понятие и общая характеристика юридической ответственности за нарушение избирательных прав граждан Российской Федерации.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3. Административная ответственность физических и юридических лиц за нарушение законодательства Российской Федерации о выборах: правовая основа, составы административных правонарушений. Протокол об административном правонарушении: субъекты права составления, порядок составления и передачи в суд.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4. Уголовная ответственность 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>за нарушение законодательства Российской Федерации о выборах.</w:t>
      </w:r>
    </w:p>
    <w:sectPr>
      <w:footerReference w:type="default" r:id="rId2"/>
      <w:type w:val="nextPage"/>
      <w:pgSz w:orient="landscape" w:w="16838" w:h="11906"/>
      <w:pgMar w:left="1020" w:right="563" w:header="0" w:top="645" w:footer="314" w:bottom="821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01"/>
    <w:family w:val="roman"/>
    <w:pitch w:val="variable"/>
  </w:font>
  <w:font w:name="Times New Roman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spacing w:before="0" w:after="160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5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a5"/>
    <w:uiPriority w:val="99"/>
    <w:semiHidden/>
    <w:qFormat/>
    <w:rsid w:val="00a4721a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701bd0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a6"/>
    <w:uiPriority w:val="99"/>
    <w:semiHidden/>
    <w:unhideWhenUsed/>
    <w:qFormat/>
    <w:rsid w:val="00a4721a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0">
    <w:name w:val="Footer"/>
    <w:basedOn w:val="Normal"/>
    <w:pPr>
      <w:suppressLineNumbers/>
      <w:tabs>
        <w:tab w:val="clear" w:pos="708"/>
        <w:tab w:val="center" w:pos="7627" w:leader="none"/>
        <w:tab w:val="right" w:pos="152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39"/>
    <w:rsid w:val="00a650b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29299-A0ED-4CBD-BBB9-1E9DB0C44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Application>LibreOffice/6.1.3.2$Windows_x86 LibreOffice_project/86daf60bf00efa86ad547e59e09d6bb77c699acb</Application>
  <Pages>5</Pages>
  <Words>1105</Words>
  <Characters>8319</Characters>
  <CharactersWithSpaces>9304</CharactersWithSpaces>
  <Paragraphs>145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2017-01-26T07:29:00Z</dcterms:created>
  <dc:creator>ТИК39</dc:creator>
  <dc:description/>
  <dc:language>ru-RU</dc:language>
  <cp:lastModifiedBy/>
  <cp:lastPrinted>2020-01-27T16:59:46Z</cp:lastPrinted>
  <dcterms:modified xsi:type="dcterms:W3CDTF">2020-01-27T16:59:39Z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