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10348" w:hanging="0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2"/>
          <w:szCs w:val="22"/>
        </w:rPr>
        <w:t>Приложение № 1</w:t>
      </w:r>
    </w:p>
    <w:p>
      <w:pPr>
        <w:pStyle w:val="Normal"/>
        <w:spacing w:lineRule="auto" w:line="240" w:before="0" w:after="0"/>
        <w:ind w:left="10348" w:hanging="0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2"/>
          <w:szCs w:val="22"/>
        </w:rPr>
        <w:t xml:space="preserve">к постановлению Территориальной избирательной комиссии Песчанокопского района </w:t>
      </w:r>
    </w:p>
    <w:p>
      <w:pPr>
        <w:pStyle w:val="Normal"/>
        <w:spacing w:lineRule="auto" w:line="240" w:before="0" w:after="0"/>
        <w:ind w:left="10348" w:hanging="0"/>
        <w:jc w:val="left"/>
        <w:rPr/>
      </w:pPr>
      <w:r>
        <w:rPr>
          <w:rFonts w:cs="Times New Roman" w:ascii="Times New Roman" w:hAnsi="Times New Roman"/>
          <w:sz w:val="22"/>
          <w:szCs w:val="22"/>
        </w:rPr>
        <w:t>от 18 февраля 2022 г. № 34-2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28"/>
          <w:szCs w:val="28"/>
        </w:rPr>
        <w:t>Учебно-тематический план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обучения членов Территориальной избирательной комиссии </w:t>
      </w:r>
    </w:p>
    <w:p>
      <w:pPr>
        <w:pStyle w:val="Normal"/>
        <w:spacing w:lineRule="auto" w:line="240" w:before="0" w:after="0"/>
        <w:ind w:left="0" w:right="0" w:hanging="0"/>
        <w:jc w:val="center"/>
        <w:rPr/>
      </w:pPr>
      <w:r>
        <w:rPr>
          <w:rFonts w:cs="Times New Roman" w:ascii="Times New Roman" w:hAnsi="Times New Roman"/>
          <w:sz w:val="28"/>
          <w:szCs w:val="28"/>
        </w:rPr>
        <w:t xml:space="preserve">Песчанокопского района в 2022 году 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3"/>
        <w:tblW w:w="15420" w:type="dxa"/>
        <w:jc w:val="left"/>
        <w:tblInd w:w="-45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80"/>
        <w:gridCol w:w="374"/>
        <w:gridCol w:w="9195"/>
        <w:gridCol w:w="1185"/>
        <w:gridCol w:w="1335"/>
        <w:gridCol w:w="2551"/>
      </w:tblGrid>
      <w:tr>
        <w:trPr>
          <w:trHeight w:val="165" w:hRule="atLeast"/>
        </w:trPr>
        <w:tc>
          <w:tcPr>
            <w:tcW w:w="780" w:type="dxa"/>
            <w:vMerge w:val="restart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№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9569" w:type="dxa"/>
            <w:gridSpan w:val="2"/>
            <w:vMerge w:val="restart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Наименование темы</w:t>
            </w:r>
          </w:p>
        </w:tc>
        <w:tc>
          <w:tcPr>
            <w:tcW w:w="2520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ТИК</w:t>
            </w:r>
          </w:p>
        </w:tc>
        <w:tc>
          <w:tcPr>
            <w:tcW w:w="2551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Ответственный</w:t>
            </w:r>
          </w:p>
        </w:tc>
      </w:tr>
      <w:tr>
        <w:trPr>
          <w:trHeight w:val="165" w:hRule="atLeast"/>
        </w:trPr>
        <w:tc>
          <w:tcPr>
            <w:tcW w:w="780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569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20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322" w:hRule="atLeast"/>
        </w:trPr>
        <w:tc>
          <w:tcPr>
            <w:tcW w:w="780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569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из них практика</w:t>
            </w:r>
          </w:p>
        </w:tc>
        <w:tc>
          <w:tcPr>
            <w:tcW w:w="2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69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Избирательное законодательство: нововведения, специфика право-применительной практики. </w:t>
            </w:r>
          </w:p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Правовые аспекты организации избирательного процесса при проведении  выборов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в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Ростовской области. Современные избирательные технологии.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Сергеев К.А.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Стерлева Я.Г.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69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Регистрация (учет) избирателей. Работа со списками избирателей. Уточнение списков избирателей.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Стадников С.А.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69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Открытость и гласность в деятельности ТИК. Взаимодействие со всеми участниками избирательного процесса.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Сергеев К.А.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69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Действия членов территориальной избирательной комиссии в конфликтных и чрезвычайных ситуациях во время выборов. Обязанности членов ТИК в случае появления нештатных ситуаций.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Стерлева Я.Г.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69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Информационное обеспечение выборов. Предвыборная агитация. Контроль за проведением предвыборной агитации. 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Сергеев К.А.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Голдинова Е.И.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69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Финансовое обеспечение выборов.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69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Подготовка и организация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АРМ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ППЗ (пункта приема заявлений) для голосования по месту нахождения. Специфика голосования в течение 3-х дней.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bookmarkStart w:id="0" w:name="__DdeLink__561_2205924116"/>
            <w:r>
              <w:rPr>
                <w:rFonts w:cs="Times New Roman" w:ascii="Times New Roman" w:hAnsi="Times New Roman"/>
                <w:sz w:val="28"/>
                <w:szCs w:val="28"/>
              </w:rPr>
              <w:t>Стерлева Я.Г.</w:t>
            </w:r>
            <w:bookmarkEnd w:id="0"/>
          </w:p>
          <w:p>
            <w:pPr>
              <w:pStyle w:val="Normal"/>
              <w:spacing w:lineRule="auto" w:line="240" w:before="0" w:after="0"/>
              <w:jc w:val="center"/>
              <w:rPr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Стадников С.А.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69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Подсчет голосов избирателей. Подведение итогов голосования и установление результатов выборов. Оформление итогового протокола. Опубликование результатов выборов.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Стерлева Я.Г.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69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Работа ТИК с обращениями, жалобами и заявлениями. Обжалование решений и действий (бездействия) участковых избирательных комиссий и должностных лиц, нарушающих избирательные права граждан. 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Стерлева Я.Г.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69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Юридическая ответственность и правовые основы недопущения нарушений избирательного законодательства.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69" w:type="dxa"/>
            <w:gridSpan w:val="2"/>
            <w:tcBorders/>
            <w:shd w:fill="auto" w:val="clear"/>
          </w:tcPr>
          <w:p>
            <w:pPr>
              <w:pStyle w:val="ListParagraph"/>
              <w:widowControl/>
              <w:bidi w:val="0"/>
              <w:spacing w:lineRule="auto" w:line="240" w:before="0" w:after="0"/>
              <w:ind w:left="170" w:right="0" w:hanging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Тестирование.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Стадников С.А.</w:t>
            </w:r>
          </w:p>
        </w:tc>
      </w:tr>
      <w:tr>
        <w:trPr/>
        <w:tc>
          <w:tcPr>
            <w:tcW w:w="1154" w:type="dxa"/>
            <w:gridSpan w:val="2"/>
            <w:tcBorders>
              <w:right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195" w:type="dxa"/>
            <w:tcBorders>
              <w:lef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cs="Times New Roman"/>
          <w:b/>
          <w:b/>
        </w:rPr>
      </w:pPr>
      <w:r>
        <w:rPr>
          <w:rFonts w:cs="Times New Roman"/>
          <w:b/>
        </w:rPr>
      </w:r>
    </w:p>
    <w:p>
      <w:pPr>
        <w:pStyle w:val="Normal"/>
        <w:spacing w:lineRule="auto" w:line="240" w:before="0" w:after="0"/>
        <w:jc w:val="center"/>
        <w:rPr>
          <w:rFonts w:cs="Times New Roman"/>
          <w:b/>
          <w:b/>
        </w:rPr>
      </w:pPr>
      <w:r>
        <w:rPr>
          <w:rFonts w:cs="Times New Roman"/>
          <w:b/>
        </w:rPr>
      </w:r>
    </w:p>
    <w:p>
      <w:pPr>
        <w:pStyle w:val="Normal"/>
        <w:spacing w:lineRule="auto" w:line="240" w:before="0" w:after="0"/>
        <w:jc w:val="center"/>
        <w:rPr>
          <w:rFonts w:cs="Times New Roman"/>
          <w:b/>
          <w:b/>
        </w:rPr>
      </w:pPr>
      <w:r>
        <w:rPr>
          <w:rFonts w:cs="Times New Roman"/>
          <w:b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>Тема № 1. Избирательное законодательство: нововведения, специфика правоприменительной практики. Виды избирательных систем, применяемые на выборах в Р</w:t>
      </w:r>
      <w:r>
        <w:rPr>
          <w:rFonts w:cs="Times New Roman" w:ascii="Times New Roman" w:hAnsi="Times New Roman"/>
          <w:b/>
          <w:sz w:val="28"/>
          <w:szCs w:val="28"/>
        </w:rPr>
        <w:t>оссийской Федерации</w:t>
      </w:r>
      <w:r>
        <w:rPr>
          <w:rFonts w:cs="Times New Roman" w:ascii="Times New Roman" w:hAnsi="Times New Roman"/>
          <w:b/>
          <w:sz w:val="28"/>
          <w:szCs w:val="28"/>
        </w:rPr>
        <w:t>.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sz w:val="28"/>
          <w:szCs w:val="28"/>
        </w:rPr>
        <w:t xml:space="preserve">Правовые аспекты организации избирательного процесса при проведении выборов </w:t>
      </w:r>
      <w:r>
        <w:rPr>
          <w:rFonts w:cs="Times New Roman" w:ascii="Times New Roman" w:hAnsi="Times New Roman"/>
          <w:b/>
          <w:sz w:val="28"/>
          <w:szCs w:val="28"/>
        </w:rPr>
        <w:t>в</w:t>
      </w:r>
      <w:r>
        <w:rPr>
          <w:rFonts w:cs="Times New Roman" w:ascii="Times New Roman" w:hAnsi="Times New Roman"/>
          <w:b/>
          <w:sz w:val="28"/>
          <w:szCs w:val="28"/>
        </w:rPr>
        <w:t xml:space="preserve"> Ростовской области. Современные избирательные технологии.</w:t>
      </w:r>
    </w:p>
    <w:p>
      <w:pPr>
        <w:pStyle w:val="ListParagraph"/>
        <w:widowControl/>
        <w:numPr>
          <w:ilvl w:val="0"/>
          <w:numId w:val="2"/>
        </w:numPr>
        <w:bidi w:val="0"/>
        <w:spacing w:lineRule="auto" w:line="240" w:before="0" w:after="0"/>
        <w:ind w:left="454" w:right="0" w:hanging="454"/>
        <w:contextualSpacing/>
        <w:jc w:val="both"/>
        <w:rPr/>
      </w:pPr>
      <w:r>
        <w:rPr>
          <w:rFonts w:cs="Times New Roman" w:ascii="Times New Roman" w:hAnsi="Times New Roman"/>
          <w:sz w:val="28"/>
          <w:szCs w:val="28"/>
        </w:rPr>
        <w:t>Федеральный закон «Об основных гарантиях избирательных прав и права на участие в референдуме граждан Российской Федерации». Права и обязанности участников избирательного процесса.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450" w:leader="none"/>
        </w:tabs>
        <w:spacing w:lineRule="auto" w:line="240" w:before="0" w:after="0"/>
        <w:ind w:left="142" w:hanging="142"/>
        <w:contextualSpacing/>
        <w:rPr/>
      </w:pPr>
      <w:r>
        <w:rPr>
          <w:rFonts w:cs="Times New Roman" w:ascii="Times New Roman" w:hAnsi="Times New Roman"/>
          <w:sz w:val="28"/>
          <w:szCs w:val="28"/>
        </w:rPr>
        <w:t>Основные изменения в избирательном законодательстве о выборах в 2021-2022 г.г.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450" w:leader="none"/>
        </w:tabs>
        <w:spacing w:lineRule="auto" w:line="240" w:before="0" w:after="0"/>
        <w:ind w:left="142" w:hanging="142"/>
        <w:contextualSpacing/>
        <w:rPr/>
      </w:pPr>
      <w:r>
        <w:rPr>
          <w:rFonts w:cs="Times New Roman" w:ascii="Times New Roman" w:hAnsi="Times New Roman"/>
          <w:sz w:val="28"/>
          <w:szCs w:val="28"/>
        </w:rPr>
        <w:t>Основные этапы избирательной кампании.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450" w:leader="none"/>
        </w:tabs>
        <w:spacing w:lineRule="auto" w:line="240" w:before="0" w:after="0"/>
        <w:ind w:left="142" w:hanging="142"/>
        <w:contextualSpacing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Избирательные системы, применяемые на территории Российской Федерации.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450" w:leader="none"/>
        </w:tabs>
        <w:spacing w:lineRule="auto" w:line="240" w:before="0" w:after="0"/>
        <w:ind w:left="142" w:hanging="142"/>
        <w:contextualSpacing/>
        <w:rPr/>
      </w:pPr>
      <w:r>
        <w:rPr>
          <w:rFonts w:cs="Times New Roman" w:ascii="Times New Roman" w:hAnsi="Times New Roman"/>
          <w:sz w:val="28"/>
          <w:szCs w:val="28"/>
        </w:rPr>
        <w:t xml:space="preserve">Правовые аспекты организации избирательного процесса при проведении выборов  </w:t>
      </w:r>
      <w:r>
        <w:rPr>
          <w:rFonts w:cs="Times New Roman" w:ascii="Times New Roman" w:hAnsi="Times New Roman"/>
          <w:sz w:val="28"/>
          <w:szCs w:val="28"/>
        </w:rPr>
        <w:t xml:space="preserve">в </w:t>
      </w:r>
      <w:r>
        <w:rPr>
          <w:rFonts w:cs="Times New Roman" w:ascii="Times New Roman" w:hAnsi="Times New Roman"/>
          <w:sz w:val="28"/>
          <w:szCs w:val="28"/>
        </w:rPr>
        <w:t>Ростовской области.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450" w:leader="none"/>
        </w:tabs>
        <w:spacing w:lineRule="auto" w:line="240" w:before="0" w:after="0"/>
        <w:ind w:left="142" w:hanging="142"/>
        <w:contextualSpacing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Современные избирательные технологии.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Тема №2.  Регистрация (учет) избирателей. Работа со списками избирателей.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Уточнение списков избирателей.</w:t>
      </w:r>
    </w:p>
    <w:p>
      <w:pPr>
        <w:pStyle w:val="Normal"/>
        <w:tabs>
          <w:tab w:val="clear" w:pos="708"/>
          <w:tab w:val="left" w:pos="450" w:leader="none"/>
        </w:tabs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1.</w:t>
        <w:tab/>
        <w:t>Регистрация (учет) избирателей.</w:t>
      </w:r>
    </w:p>
    <w:p>
      <w:pPr>
        <w:pStyle w:val="Normal"/>
        <w:tabs>
          <w:tab w:val="clear" w:pos="708"/>
          <w:tab w:val="left" w:pos="450" w:leader="none"/>
        </w:tabs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2.</w:t>
        <w:tab/>
        <w:t xml:space="preserve">Списки избирателей. Ознакомление избирателей со списком избирателей. 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3.</w:t>
        <w:tab/>
        <w:t>Уточнение списка избирателей.</w:t>
      </w:r>
    </w:p>
    <w:p>
      <w:pPr>
        <w:pStyle w:val="Normal"/>
        <w:tabs>
          <w:tab w:val="clear" w:pos="708"/>
          <w:tab w:val="left" w:pos="45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4. </w:t>
        <w:tab/>
        <w:t>Внесение данных голосующих по месту нахождения.</w:t>
      </w:r>
    </w:p>
    <w:p>
      <w:pPr>
        <w:pStyle w:val="Normal"/>
        <w:tabs>
          <w:tab w:val="clear" w:pos="708"/>
          <w:tab w:val="left" w:pos="45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5.</w:t>
        <w:tab/>
        <w:t xml:space="preserve">Исключение избирателя из списка избирателей. Подготовка списка избирателей ко дню голосования. </w:t>
      </w:r>
    </w:p>
    <w:p>
      <w:pPr>
        <w:pStyle w:val="Normal"/>
        <w:tabs>
          <w:tab w:val="clear" w:pos="708"/>
          <w:tab w:val="left" w:pos="45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6.</w:t>
        <w:tab/>
        <w:t>Внесение отметок в список избирателей.</w:t>
      </w:r>
    </w:p>
    <w:p>
      <w:pPr>
        <w:pStyle w:val="Normal"/>
        <w:spacing w:lineRule="auto" w:line="240" w:before="0" w:after="0"/>
        <w:jc w:val="center"/>
        <w:rPr>
          <w:rFonts w:cs="Times New Roman"/>
          <w:b/>
          <w:b/>
        </w:rPr>
      </w:pPr>
      <w:r>
        <w:rPr>
          <w:rFonts w:cs="Times New Roman"/>
          <w:b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Тема № 3. Открытость и гласность в деятельности ТИК.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Взаимодействие со всеми участниками избирательного процесса.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Взаимодействие территориальной избирательной комиссии с наблюдателями, членами комиссии с правом совещательного голоса.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8"/>
          <w:szCs w:val="28"/>
        </w:rPr>
        <w:t>2. Права наблюдателей. Недопущение правонарушающих действий наблюдателей и других участников избирательного процесса.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8"/>
          <w:szCs w:val="28"/>
        </w:rPr>
        <w:t>3. Взаимодействие территориальной избирательной комиссии с представителями средств массовой информации, кандидатами, присутствующими при голосовании и подсчете голосов.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8"/>
          <w:szCs w:val="28"/>
        </w:rPr>
        <w:t>4. Осуществление фото- и видеосъемки при проведении выборов.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 xml:space="preserve">Тема №4. Действия членов </w:t>
      </w:r>
      <w:r>
        <w:rPr>
          <w:rFonts w:cs="Times New Roman" w:ascii="Times New Roman" w:hAnsi="Times New Roman"/>
          <w:b/>
          <w:sz w:val="28"/>
          <w:szCs w:val="28"/>
        </w:rPr>
        <w:t>Т</w:t>
      </w:r>
      <w:r>
        <w:rPr>
          <w:rFonts w:cs="Times New Roman" w:ascii="Times New Roman" w:hAnsi="Times New Roman"/>
          <w:b/>
          <w:sz w:val="28"/>
          <w:szCs w:val="28"/>
        </w:rPr>
        <w:t>ерриториальной избирательной комиссии в конфликтных и чрезвычайных ситуациях во время выборов. Обязанности членов ТИК в случае появления нештатных ситуаций.</w:t>
      </w:r>
    </w:p>
    <w:p>
      <w:pPr>
        <w:pStyle w:val="Normal"/>
        <w:tabs>
          <w:tab w:val="clear" w:pos="708"/>
          <w:tab w:val="left" w:pos="345" w:leader="none"/>
        </w:tabs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1.</w:t>
        <w:tab/>
        <w:t xml:space="preserve">Алгоритм действия членов ТИК в случае возникновения нарушений избирательного законодательства. 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2.</w:t>
        <w:tab/>
        <w:t>Возможные виды нарушений, возникающих в территориальной избирательной комиссии.</w:t>
      </w:r>
    </w:p>
    <w:p>
      <w:pPr>
        <w:pStyle w:val="Normal"/>
        <w:tabs>
          <w:tab w:val="clear" w:pos="708"/>
          <w:tab w:val="left" w:pos="345" w:leader="none"/>
        </w:tabs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3.</w:t>
        <w:tab/>
        <w:t xml:space="preserve">Действия членов ТИК </w:t>
      </w:r>
      <w:r>
        <w:rPr>
          <w:rFonts w:cs="Times New Roman" w:ascii="Times New Roman" w:hAnsi="Times New Roman"/>
          <w:sz w:val="28"/>
          <w:szCs w:val="28"/>
        </w:rPr>
        <w:t>в конфликтных ситуациях во время выборов.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4.</w:t>
        <w:tab/>
        <w:t>Взаимодействие ТИК с правоохранительными органами.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5.</w:t>
        <w:tab/>
        <w:t>Обязанности членов ТИК в случае  нештатных ситуаций, возникших в ходе избирательного процесса.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Тема №5. Информационное обеспечение выборов. Предвыборная агитация. Контроль за проведением предвыборной агитации.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</w:t>
        <w:tab/>
        <w:t>Информирование избирателей.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2.</w:t>
        <w:tab/>
        <w:t xml:space="preserve">Требования к содержанию информационных материалов. 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</w:t>
        <w:tab/>
        <w:t xml:space="preserve">Главные отличия информирования от агитации. 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</w:t>
        <w:tab/>
        <w:t xml:space="preserve">Предвыборная агитация: понятие, признаки, формы, методы. Расходы на проведение предвыборной агитации. Участники предвыборной агитации. Условия проведения предвыборной агитации на каналах организаций телерадиовещания, в периодических печатных изданиях. 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5.</w:t>
        <w:tab/>
        <w:t xml:space="preserve">Агитационный период. Проведение предвыборной агитации. </w:t>
      </w:r>
    </w:p>
    <w:p>
      <w:pPr>
        <w:pStyle w:val="Normal"/>
        <w:tabs>
          <w:tab w:val="clear" w:pos="708"/>
          <w:tab w:val="left" w:pos="345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6.</w:t>
        <w:tab/>
        <w:t>Пресечение незаконного распространения агитационных материалов.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Тема №6. Финансовое обеспечение выборов.</w:t>
      </w:r>
    </w:p>
    <w:p>
      <w:pPr>
        <w:pStyle w:val="Normal"/>
        <w:tabs>
          <w:tab w:val="clear" w:pos="708"/>
          <w:tab w:val="left" w:pos="345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Расходы территориальной избирательной комиссии, финансируемые при проведении выборов.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2. Смета расходов территориальной и участковой избирательной комиссии: порядок составления, утверждения и исполнения.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3. Финансовая документация при подготовке отчета о расходовании бюджетных средств.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4. Контроль за целевым расходованием бюджетных средств, выделенных </w:t>
      </w:r>
      <w:r>
        <w:rPr>
          <w:rFonts w:cs="Times New Roman" w:ascii="Times New Roman" w:hAnsi="Times New Roman"/>
          <w:sz w:val="28"/>
          <w:szCs w:val="28"/>
        </w:rPr>
        <w:t>Т</w:t>
      </w:r>
      <w:r>
        <w:rPr>
          <w:rFonts w:cs="Times New Roman" w:ascii="Times New Roman" w:hAnsi="Times New Roman"/>
          <w:sz w:val="28"/>
          <w:szCs w:val="28"/>
        </w:rPr>
        <w:t xml:space="preserve">ерриториальной избирательной комиссии.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>Тема №7. Подготовка и организация работы пункта приема заявлений для голосования по месту нахождения. Специфика голосования в течение 3-х дней.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Организация АРМ ППЗ (автоматизированного рабочего места пункта приема заявлений) для голосования по месту нахождения.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Документация и учет заявлений в пункте приема заявлений для голосования по месту нахождения.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3. Работа ТИК с избирательными бюллетенями. Порядок получения избирательных бюллетеней. Передача избирательных бюллетеней и друг</w:t>
      </w:r>
      <w:r>
        <w:rPr>
          <w:rFonts w:cs="Times New Roman" w:ascii="Times New Roman" w:hAnsi="Times New Roman"/>
          <w:sz w:val="28"/>
          <w:szCs w:val="28"/>
        </w:rPr>
        <w:t xml:space="preserve">ой </w:t>
      </w:r>
      <w:r>
        <w:rPr>
          <w:rFonts w:cs="Times New Roman" w:ascii="Times New Roman" w:hAnsi="Times New Roman"/>
          <w:sz w:val="28"/>
          <w:szCs w:val="28"/>
        </w:rPr>
        <w:t xml:space="preserve"> избирательн</w:t>
      </w:r>
      <w:r>
        <w:rPr>
          <w:rFonts w:cs="Times New Roman" w:ascii="Times New Roman" w:hAnsi="Times New Roman"/>
          <w:sz w:val="28"/>
          <w:szCs w:val="28"/>
        </w:rPr>
        <w:t>ой</w:t>
      </w:r>
      <w:r>
        <w:rPr>
          <w:rFonts w:cs="Times New Roman" w:ascii="Times New Roman" w:hAnsi="Times New Roman"/>
          <w:sz w:val="28"/>
          <w:szCs w:val="28"/>
        </w:rPr>
        <w:t xml:space="preserve"> документ</w:t>
      </w:r>
      <w:r>
        <w:rPr>
          <w:rFonts w:cs="Times New Roman" w:ascii="Times New Roman" w:hAnsi="Times New Roman"/>
          <w:sz w:val="28"/>
          <w:szCs w:val="28"/>
        </w:rPr>
        <w:t>ации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4. Специфика голосования в течение 3-х дней. Основные аспекты оформления избирательной документации.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cs="Times New Roman"/>
          <w:b/>
          <w:b/>
        </w:rPr>
      </w:pPr>
      <w:r>
        <w:rPr>
          <w:rFonts w:cs="Times New Roman"/>
          <w:b/>
        </w:rPr>
      </w:r>
    </w:p>
    <w:p>
      <w:pPr>
        <w:pStyle w:val="Normal"/>
        <w:spacing w:lineRule="auto" w:line="240" w:before="0" w:after="0"/>
        <w:jc w:val="center"/>
        <w:rPr>
          <w:rFonts w:cs="Times New Roman"/>
          <w:b/>
          <w:b/>
        </w:rPr>
      </w:pPr>
      <w:r>
        <w:rPr>
          <w:rFonts w:cs="Times New Roman"/>
          <w:b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Тема №8. Подсчет голосов избирателей.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Подведение итогов голосования и установление результатов выборов.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Оформление итогового протокола.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1. Порядок подсчета голосов избирателей.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2. Последовательность и порядок действий членов УИК при подсчёте голосов избирателей. Подсчёт и погашение неиспользованных избирательных бюллетеней.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3. Непосредственный подсчет голосов избирателей. Подсчет числа избирательных бюллетеней в переносных ящиках для голосования. Вскрытие стационарных ящиков для голосования, сортировка избирательных бюллетеней.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4. Оформление протокола об итогах голосования. Проверка контрольных и логических соотношений.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5. Упаковка избирательных бюллетеней и передача их в ТИК.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6. Проведение итогового заседания ТИК. Оформление протокола ТИК о результатах выборов, порядок выдачи копии протокола. Порядок работы с протоколом ТИК после его подписания.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Тема №9. Работа ТИК с обращениями, жалобами и заявлениями. Обжалование решений и действий (бездействия) участковых комиссий и должностных лиц, нарушающих избирательные права граждан.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1. Организация работы с заявлениями и обращениями граждан, поступающими в территориальную избирательную комиссию.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Порядок разрешения избирательных споров, обжалование решений нижестоящих комиссий и должностных лиц.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3. Порядок и сроки рассмотрения избирательными комиссиями обращений о нарушениях законодательства о выборах.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>Тема №10. Юридическая ответственность и правовые основы недопущения  нарушений избирательного законодательства.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Понятие и общая характеристика юридической ответственности за нарушение избирательных прав граждан Российской Федерации.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Виды юридической ответственности за нарушение законодательства Российской Федерации о выборах и референдумах: конституционно-правовая, гражданско-правовая, административная, уголовная ответственность.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3. Административная ответственность физических и юридических лиц за нарушение законодательства Российской Федерации о выборах. Протокол об административном правонарушении.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4. Уголовная ответственность </w:t>
      </w:r>
      <w:bookmarkStart w:id="1" w:name="_GoBack"/>
      <w:bookmarkEnd w:id="1"/>
      <w:r>
        <w:rPr>
          <w:rFonts w:cs="Times New Roman" w:ascii="Times New Roman" w:hAnsi="Times New Roman"/>
          <w:sz w:val="28"/>
          <w:szCs w:val="28"/>
        </w:rPr>
        <w:t>за нарушение законодательства Российской Федерации о выборах.</w:t>
      </w:r>
    </w:p>
    <w:sectPr>
      <w:footerReference w:type="default" r:id="rId2"/>
      <w:type w:val="nextPage"/>
      <w:pgSz w:orient="landscape" w:w="16838" w:h="11906"/>
      <w:pgMar w:left="1020" w:right="563" w:header="0" w:top="645" w:footer="314" w:bottom="82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spacing w:before="0" w:after="16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ind w:left="1065" w:hanging="705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5"/>
    <w:uiPriority w:val="99"/>
    <w:semiHidden/>
    <w:qFormat/>
    <w:rsid w:val="00a4721a"/>
    <w:rPr>
      <w:rFonts w:ascii="Segoe UI" w:hAnsi="Segoe UI" w:cs="Segoe UI"/>
      <w:sz w:val="18"/>
      <w:szCs w:val="18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701bd0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a6"/>
    <w:uiPriority w:val="99"/>
    <w:semiHidden/>
    <w:unhideWhenUsed/>
    <w:qFormat/>
    <w:rsid w:val="00a4721a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20">
    <w:name w:val="Footer"/>
    <w:basedOn w:val="Normal"/>
    <w:pPr>
      <w:suppressLineNumbers/>
      <w:tabs>
        <w:tab w:val="clear" w:pos="708"/>
        <w:tab w:val="center" w:pos="7627" w:leader="none"/>
        <w:tab w:val="right" w:pos="15255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a650b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29299-A0ED-4CBD-BBB9-1E9DB0C44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Application>LibreOffice/6.1.3.2$Windows_x86 LibreOffice_project/86daf60bf00efa86ad547e59e09d6bb77c699acb</Application>
  <Pages>5</Pages>
  <Words>967</Words>
  <Characters>7220</Characters>
  <CharactersWithSpaces>8075</CharactersWithSpaces>
  <Paragraphs>138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2017-01-26T07:29:00Z</dcterms:created>
  <dc:creator>ТИК39</dc:creator>
  <dc:description/>
  <dc:language>ru-RU</dc:language>
  <cp:lastModifiedBy/>
  <cp:lastPrinted>2022-03-11T15:35:38Z</cp:lastPrinted>
  <dcterms:modified xsi:type="dcterms:W3CDTF">2022-03-11T15:35:41Z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